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r>
        <w:rPr>
          <w:rFonts w:ascii="Arial" w:hAnsi="Arial"/>
          <w:b/>
          <w:color w:val="7C3AED"/>
          <w:sz w:val="17"/>
        </w:rPr>
        <w:t>EONLINT STARTUP OPERATIONS LIBRARY</w:t>
      </w:r>
    </w:p>
    <w:p>
      <w:pPr>
        <w:pStyle w:val="Title"/>
        <w:spacing w:before="120" w:after="280"/>
      </w:pPr>
      <w:r>
        <w:t>Support Escalation SOP</w:t>
      </w:r>
    </w:p>
    <w:p>
      <w:pPr>
        <w:spacing w:after="440"/>
      </w:pPr>
      <w:r>
        <w:rPr>
          <w:rFonts w:ascii="Arial" w:hAnsi="Arial"/>
          <w:color w:val="66666F"/>
          <w:sz w:val="26"/>
        </w:rPr>
        <w:t>A support triage and escalation process that separates inconvenience from real customer harm and puts the right owner on the problem fast.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Collection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Sales and customer success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Document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support owner manages the queue; the assigned resolver owns the issue until closure.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</w:tbl>
    <w:p/>
    <w:p>
      <w:pPr>
        <w:pStyle w:val="Heading2"/>
        <w:keepNext/>
      </w:pPr>
      <w:r>
        <w:t>Why Eonlint publishes these SOPs</w:t>
      </w:r>
    </w:p>
    <w:p>
      <w:pPr>
        <w:spacing w:after="280"/>
      </w:pPr>
      <w:r>
        <w:t>Startups need control without becoming corporate. This document is designed to be edited, assigned, and used in real work. It is the shortest reliable path from trigger to outcome, not a policy manual nobody reads.</w:t>
      </w:r>
    </w:p>
    <w:p>
      <w:r>
        <w:t xml:space="preserve">Need the product and operating system built together? </w:t>
      </w:r>
      <w:hyperlink r:id="rId11">
        <w:r>
          <w:rPr>
            <w:color w:val="7C3AED"/>
            <w:b/>
          </w:rPr>
          <w:t>Build with Eonlint</w:t>
        </w:r>
      </w:hyperlink>
    </w:p>
    <w:p>
      <w:pPr>
        <w:spacing w:before="480"/>
      </w:pPr>
      <w:r>
        <w:rPr>
          <w:rFonts w:ascii="Arial" w:hAnsi="Arial"/>
          <w:color w:val="66666F"/>
          <w:sz w:val="17"/>
        </w:rPr>
        <w:t>Planning template only. Adapt it to your company, contracts, risk, and jurisdiction. Obtain qualified legal, tax, security, employment, or accounting advice where required.</w:t>
      </w:r>
    </w:p>
    <w:p>
      <w:r>
        <w:br w:type="page"/>
      </w:r>
    </w:p>
    <w:p>
      <w:pPr>
        <w:pStyle w:val="Title"/>
      </w:pPr>
      <w:r>
        <w:t>Support Escalation SOP</w:t>
      </w:r>
    </w:p>
    <w:p>
      <w:pPr>
        <w:pStyle w:val="Heading1"/>
      </w:pPr>
      <w:r>
        <w:t>Purpose</w:t>
      </w:r>
    </w:p>
    <w:p>
      <w:r>
        <w:t>Respond consistently, protect urgent customers, and prevent difficult issues from disappearing between support, product, and engineering.</w:t>
      </w:r>
    </w:p>
    <w:p>
      <w:pPr>
        <w:pStyle w:val="Heading1"/>
      </w:pPr>
      <w:r>
        <w:t>When this SOP applies</w:t>
      </w:r>
    </w:p>
    <w:p>
      <w:r>
        <w:t>Use for every customer question, defect, service issue, complaint, security concern, refund request, or product feedback item.</w:t>
      </w:r>
    </w:p>
    <w:p>
      <w:pPr>
        <w:pStyle w:val="Heading1"/>
      </w:pPr>
      <w:r>
        <w:t>Owner</w:t>
      </w:r>
    </w:p>
    <w:p>
      <w:r>
        <w:t>The support owner manages the queue; the assigned resolver owns the issue until closure.</w:t>
      </w:r>
    </w:p>
    <w:p>
      <w:pPr>
        <w:pStyle w:val="Heading1"/>
      </w:pPr>
      <w:r>
        <w:t>Required inputs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Customer identity and plan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Issue description and business impact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Steps, timestamps, screenshots, or logs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Affected users and workaround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Security, privacy, payment, or legal indicators</w:t>
      </w:r>
    </w:p>
    <w:p>
      <w:pPr>
        <w:pStyle w:val="Heading1"/>
      </w:pPr>
      <w:r>
        <w:t>Expected response time</w:t>
      </w:r>
    </w:p>
    <w:p>
      <w:r>
        <w:t>Critical harm or security issues within 15 minutes. High-priority issues within one hour. Standard tickets within one working day. Customer updates follow the priority-specific cadence.</w:t>
      </w:r>
    </w:p>
    <w:p>
      <w:pPr>
        <w:pStyle w:val="Heading1"/>
      </w:pPr>
      <w:r>
        <w:t>Success metric</w:t>
      </w:r>
    </w:p>
    <w:p>
      <w:r>
        <w:t>Priority-adjusted first-response and resolution time with customer reopen rate below five percent.</w:t>
      </w:r>
    </w:p>
    <w:p>
      <w:r>
        <w:br w:type="page"/>
      </w:r>
    </w:p>
    <w:p>
      <w:pPr>
        <w:pStyle w:val="Title"/>
      </w:pPr>
      <w:r>
        <w:t>Exact steps</w:t>
      </w:r>
    </w:p>
    <w:p>
      <w:pPr>
        <w:spacing w:after="280"/>
      </w:pPr>
      <w:r>
        <w:t>Execute these steps in order. Record material exceptions instead of silently inventing a second process.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01  </w:t>
      </w:r>
      <w:r>
        <w:rPr>
          <w:rFonts w:ascii="Arial" w:hAnsi="Arial"/>
          <w:color w:val="111111"/>
          <w:sz w:val="21"/>
        </w:rPr>
        <w:t>Acknowledge the ticket and confirm the reported impact.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02  </w:t>
      </w:r>
      <w:r>
        <w:rPr>
          <w:rFonts w:ascii="Arial" w:hAnsi="Arial"/>
          <w:color w:val="111111"/>
          <w:sz w:val="21"/>
        </w:rPr>
        <w:t>Classify it as question, defect, incident, complaint, billing, security, or feedback.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03  </w:t>
      </w:r>
      <w:r>
        <w:rPr>
          <w:rFonts w:ascii="Arial" w:hAnsi="Arial"/>
          <w:color w:val="111111"/>
          <w:sz w:val="21"/>
        </w:rPr>
        <w:t>Set priority using user impact, scope, workaround, revenue, data, and time sensitivity.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04  </w:t>
      </w:r>
      <w:r>
        <w:rPr>
          <w:rFonts w:ascii="Arial" w:hAnsi="Arial"/>
          <w:color w:val="111111"/>
          <w:sz w:val="21"/>
        </w:rPr>
        <w:t>Resolve known issues using approved guidance or assign one accountable resolver.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05  </w:t>
      </w:r>
      <w:r>
        <w:rPr>
          <w:rFonts w:ascii="Arial" w:hAnsi="Arial"/>
          <w:color w:val="111111"/>
          <w:sz w:val="21"/>
        </w:rPr>
        <w:t>Escalate incidents and security indicators immediately to the relevant SOP and owner.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06  </w:t>
      </w:r>
      <w:r>
        <w:rPr>
          <w:rFonts w:ascii="Arial" w:hAnsi="Arial"/>
          <w:color w:val="111111"/>
          <w:sz w:val="21"/>
        </w:rPr>
        <w:t>Update the customer at the promised cadence even when there is no resolution yet.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07  </w:t>
      </w:r>
      <w:r>
        <w:rPr>
          <w:rFonts w:ascii="Arial" w:hAnsi="Arial"/>
          <w:color w:val="111111"/>
          <w:sz w:val="21"/>
        </w:rPr>
        <w:t>Verify the outcome with the customer and record the cause, fix, and reusable knowledge.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08  </w:t>
      </w:r>
      <w:r>
        <w:rPr>
          <w:rFonts w:ascii="Arial" w:hAnsi="Arial"/>
          <w:color w:val="111111"/>
          <w:sz w:val="21"/>
        </w:rPr>
        <w:t>Tag repeated issues for product review and close only when ownership and follow-up are clear.</w:t>
      </w:r>
    </w:p>
    <w:p>
      <w:pPr>
        <w:pStyle w:val="Heading1"/>
      </w:pPr>
      <w:r>
        <w:t>Decision and approval points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Support can resolve standard questions and approved remedies.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Engineering owns technical diagnosis and production fixes.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Refunds, contractual concessions, public statements, and security disclosures require the designated commercial, founder, or legal approval.</w:t>
      </w:r>
    </w:p>
    <w:p>
      <w:pPr>
        <w:pStyle w:val="Heading1"/>
      </w:pPr>
      <w:r>
        <w:t>Escalation path</w:t>
      </w:r>
    </w:p>
    <w:p>
      <w:r>
        <w:t>Escalate immediately for security, data loss, widespread outage, financial harm, legal threats, abusive behavior, or repeated missed response commitments.</w:t>
      </w:r>
    </w:p>
    <w:p>
      <w:r>
        <w:br w:type="page"/>
      </w:r>
    </w:p>
    <w:p>
      <w:pPr>
        <w:pStyle w:val="Title"/>
      </w:pPr>
      <w:r>
        <w:t>Controls and customization</w:t>
      </w:r>
    </w:p>
    <w:p>
      <w:pPr>
        <w:pStyle w:val="Heading1"/>
      </w:pPr>
      <w:r>
        <w:t>Records that must be kept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Original ticket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Priority and rationale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Assignment and timeline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Customer updates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Resolution and verification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Linked defect, incident, refund, or feedback record</w:t>
      </w:r>
    </w:p>
    <w:p>
      <w:pPr>
        <w:pStyle w:val="Heading1"/>
      </w:pPr>
      <w:r>
        <w:t>Customization checklist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priority levels and examples.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Publish response and update times.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Name engineering, security, billing, and founder escalation routes.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Set refund and concession authority.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Choose ticket tags that feed product decisions.</w:t>
      </w:r>
    </w:p>
    <w:p>
      <w:pPr>
        <w:pStyle w:val="Heading1"/>
      </w:pPr>
      <w:r>
        <w:t>Common startup mistakes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Treating the loudest customer as the highest priority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Sending 'we are looking into it' without an owner or next update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Closing the ticket when the internal task is done but the customer is still blocked</w:t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SOP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support owner manages the queue; the assigned resolver owns the issue until closure.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Effective date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date]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Version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1.0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Next review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 or review trigger]</w:t>
            </w:r>
          </w:p>
        </w:tc>
      </w:tr>
    </w:tbl>
    <w:p>
      <w:pPr>
        <w:spacing w:before="280"/>
      </w:pPr>
      <w:r>
        <w:rPr>
          <w:b/>
        </w:rPr>
        <w:t xml:space="preserve">Review rule: </w:t>
      </w:r>
      <w:r>
        <w:t>Review after a material failure, role change, system change, or at least every six months.</w:t>
      </w:r>
    </w:p>
    <w:sectPr w:rsidR="00FC693F" w:rsidRPr="0006063C" w:rsidSect="00034616">
      <w:footerReference w:type="default" r:id="rId9"/>
      <w:pgSz w:w="12240" w:h="15840"/>
      <w:pgMar w:top="1008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F"/>
        <w:sz w:val="16"/>
      </w:rPr>
      <w:t xml:space="preserve">Eonlint Startup Operations Library   ·  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eonlint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