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325880" cy="1325880"/>
            <wp:docPr id="1" name="Picture 1"/>
            <wp:cNvGraphicFramePr>
              <a:graphicFrameLocks noChangeAspect="1"/>
            </wp:cNvGraphicFramePr>
            <a:graphic>
              <a:graphicData uri="http://schemas.openxmlformats.org/drawingml/2006/picture">
                <pic:pic>
                  <pic:nvPicPr>
                    <pic:cNvPr id="0" name="Eonlint_themed_white_bg_logo.png"/>
                    <pic:cNvPicPr/>
                  </pic:nvPicPr>
                  <pic:blipFill>
                    <a:blip r:embed="rId10"/>
                    <a:stretch>
                      <a:fillRect/>
                    </a:stretch>
                  </pic:blipFill>
                  <pic:spPr>
                    <a:xfrm>
                      <a:off x="0" y="0"/>
                      <a:ext cx="1325880" cy="1325880"/>
                    </a:xfrm>
                    <a:prstGeom prst="rect"/>
                  </pic:spPr>
                </pic:pic>
              </a:graphicData>
            </a:graphic>
          </wp:inline>
        </w:drawing>
      </w:r>
    </w:p>
    <w:p/>
    <w:p/>
    <w:p>
      <w:r>
        <w:rPr>
          <w:rFonts w:ascii="Arial" w:hAnsi="Arial"/>
          <w:b/>
          <w:color w:val="7C3AED"/>
          <w:sz w:val="17"/>
        </w:rPr>
        <w:t>EONLINT STARTUP OPERATIONS LIBRARY</w:t>
      </w:r>
    </w:p>
    <w:p>
      <w:pPr>
        <w:pStyle w:val="Title"/>
        <w:spacing w:before="120" w:after="280"/>
      </w:pPr>
      <w:r>
        <w:t>Monthly Runway Review SOP</w:t>
      </w:r>
    </w:p>
    <w:p>
      <w:pPr>
        <w:spacing w:after="440"/>
      </w:pPr>
      <w:r>
        <w:rPr>
          <w:rFonts w:ascii="Arial" w:hAnsi="Arial"/>
          <w:color w:val="66666F"/>
          <w:sz w:val="26"/>
        </w:rPr>
        <w:t>A monthly founder review that turns cash, burn, commitments, hiring, revenue, and fundraising timing into decisions before the bank balance becomes the strategy.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939"/>
        <w:gridCol w:w="4939"/>
      </w:tblGrid>
      <w:tr>
        <w:tc>
          <w:tcPr>
            <w:tcW w:type="dxa" w:w="2088"/>
            <w:shd w:fill="F5F0FF"/>
            <w:tcMar>
              <w:top w:w="150" w:type="dxa"/>
              <w:start w:w="150" w:type="dxa"/>
              <w:bottom w:w="150" w:type="dxa"/>
              <w:end w:w="150" w:type="dxa"/>
            </w:tcMar>
            <w:vAlign w:val="center"/>
          </w:tcPr>
          <w:p>
            <w:pPr>
              <w:spacing w:after="0" w:line="259" w:lineRule="auto"/>
            </w:pPr>
            <w:r>
              <w:rPr>
                <w:rFonts w:ascii="Arial" w:hAnsi="Arial"/>
                <w:b/>
                <w:color w:val="111111"/>
                <w:sz w:val="19"/>
              </w:rPr>
              <w:t>Collection</w:t>
            </w:r>
          </w:p>
        </w:tc>
        <w:tc>
          <w:tcPr>
            <w:tcW w:type="dxa" w:w="7200"/>
            <w:tcMar>
              <w:top w:w="150" w:type="dxa"/>
              <w:start w:w="150" w:type="dxa"/>
              <w:bottom w:w="150" w:type="dxa"/>
              <w:end w:w="150" w:type="dxa"/>
            </w:tcMar>
            <w:vAlign w:val="center"/>
          </w:tcPr>
          <w:p>
            <w:pPr>
              <w:spacing w:after="0" w:line="259" w:lineRule="auto"/>
            </w:pPr>
            <w:r>
              <w:rPr>
                <w:rFonts w:ascii="Arial" w:hAnsi="Arial"/>
                <w:color w:val="111111"/>
                <w:sz w:val="19"/>
              </w:rPr>
              <w:t>Finance and fundraising</w:t>
            </w:r>
          </w:p>
        </w:tc>
      </w:tr>
      <w:tr>
        <w:tc>
          <w:tcPr>
            <w:tcW w:type="dxa" w:w="2088"/>
            <w:shd w:fill="F5F5F6"/>
            <w:tcMar>
              <w:top w:w="150" w:type="dxa"/>
              <w:start w:w="150" w:type="dxa"/>
              <w:bottom w:w="150" w:type="dxa"/>
              <w:end w:w="150" w:type="dxa"/>
            </w:tcMar>
            <w:vAlign w:val="center"/>
          </w:tcPr>
          <w:p>
            <w:pPr>
              <w:spacing w:after="0" w:line="259" w:lineRule="auto"/>
            </w:pPr>
            <w:r>
              <w:rPr>
                <w:rFonts w:ascii="Arial" w:hAnsi="Arial"/>
                <w:b/>
                <w:color w:val="111111"/>
                <w:sz w:val="19"/>
              </w:rPr>
              <w:t>Document owner</w:t>
            </w:r>
          </w:p>
        </w:tc>
        <w:tc>
          <w:tcPr>
            <w:tcW w:type="dxa" w:w="7200"/>
            <w:tcMar>
              <w:top w:w="150" w:type="dxa"/>
              <w:start w:w="150" w:type="dxa"/>
              <w:bottom w:w="150" w:type="dxa"/>
              <w:end w:w="150" w:type="dxa"/>
            </w:tcMar>
            <w:vAlign w:val="center"/>
            <w:shd w:fill="F5F5F6"/>
          </w:tcPr>
          <w:p>
            <w:pPr>
              <w:spacing w:after="0" w:line="259" w:lineRule="auto"/>
            </w:pPr>
            <w:r>
              <w:rPr>
                <w:rFonts w:ascii="Arial" w:hAnsi="Arial"/>
                <w:color w:val="111111"/>
                <w:sz w:val="19"/>
              </w:rPr>
              <w:t>The finance owner prepares the review; a founder owns the resulting decisions.</w:t>
            </w:r>
          </w:p>
        </w:tc>
      </w:tr>
      <w:tr>
        <w:tc>
          <w:tcPr>
            <w:tcW w:type="dxa" w:w="2088"/>
            <w:shd w:fill="F5F0FF"/>
            <w:tcMar>
              <w:top w:w="150" w:type="dxa"/>
              <w:start w:w="150" w:type="dxa"/>
              <w:bottom w:w="150" w:type="dxa"/>
              <w:end w:w="150" w:type="dxa"/>
            </w:tcMar>
            <w:vAlign w:val="center"/>
          </w:tcPr>
          <w:p>
            <w:pPr>
              <w:spacing w:after="0" w:line="259" w:lineRule="auto"/>
            </w:pPr>
            <w:r>
              <w:rPr>
                <w:rFonts w:ascii="Arial" w:hAnsi="Arial"/>
                <w:b/>
                <w:color w:val="111111"/>
                <w:sz w:val="19"/>
              </w:rPr>
              <w:t>Last reviewed</w:t>
            </w:r>
          </w:p>
        </w:tc>
        <w:tc>
          <w:tcPr>
            <w:tcW w:type="dxa" w:w="7200"/>
            <w:tcMar>
              <w:top w:w="150" w:type="dxa"/>
              <w:start w:w="150" w:type="dxa"/>
              <w:bottom w:w="150" w:type="dxa"/>
              <w:end w:w="150" w:type="dxa"/>
            </w:tcMar>
            <w:vAlign w:val="center"/>
          </w:tcPr>
          <w:p>
            <w:pPr>
              <w:spacing w:after="0" w:line="259" w:lineRule="auto"/>
            </w:pPr>
            <w:r>
              <w:rPr>
                <w:rFonts w:ascii="Arial" w:hAnsi="Arial"/>
                <w:color w:val="111111"/>
                <w:sz w:val="19"/>
              </w:rPr>
              <w:t>2026-10-04</w:t>
            </w:r>
          </w:p>
        </w:tc>
      </w:tr>
    </w:tbl>
    <w:p/>
    <w:p>
      <w:pPr>
        <w:pStyle w:val="Heading2"/>
        <w:keepNext/>
      </w:pPr>
      <w:r>
        <w:t>Why Eonlint publishes these SOPs</w:t>
      </w:r>
    </w:p>
    <w:p>
      <w:pPr>
        <w:spacing w:after="280"/>
      </w:pPr>
      <w:r>
        <w:t>Startups need control without becoming corporate. This document is designed to be edited, assigned, and used in real work. It is the shortest reliable path from trigger to outcome, not a policy manual nobody reads.</w:t>
      </w:r>
    </w:p>
    <w:p>
      <w:r>
        <w:t xml:space="preserve">Need the product and operating system built together? </w:t>
      </w:r>
      <w:hyperlink r:id="rId11">
        <w:r>
          <w:rPr>
            <w:color w:val="7C3AED"/>
            <w:b/>
          </w:rPr>
          <w:t>Build with Eonlint</w:t>
        </w:r>
      </w:hyperlink>
    </w:p>
    <w:p>
      <w:pPr>
        <w:spacing w:before="480"/>
      </w:pPr>
      <w:r>
        <w:rPr>
          <w:rFonts w:ascii="Arial" w:hAnsi="Arial"/>
          <w:color w:val="66666F"/>
          <w:sz w:val="17"/>
        </w:rPr>
        <w:t>Planning template only. Adapt it to your company, contracts, risk, and jurisdiction. Obtain qualified legal, tax, security, employment, or accounting advice where required.</w:t>
      </w:r>
    </w:p>
    <w:p>
      <w:r>
        <w:br w:type="page"/>
      </w:r>
    </w:p>
    <w:p>
      <w:pPr>
        <w:pStyle w:val="Title"/>
      </w:pPr>
      <w:r>
        <w:t>Monthly Runway Review SOP</w:t>
      </w:r>
    </w:p>
    <w:p>
      <w:pPr>
        <w:pStyle w:val="Heading1"/>
      </w:pPr>
      <w:r>
        <w:t>Purpose</w:t>
      </w:r>
    </w:p>
    <w:p>
      <w:r>
        <w:t>Maintain a current view of cash runway, explain changes, and trigger cost, revenue, hiring, or fundraising action early.</w:t>
      </w:r>
    </w:p>
    <w:p>
      <w:pPr>
        <w:pStyle w:val="Heading1"/>
      </w:pPr>
      <w:r>
        <w:t>When this SOP applies</w:t>
      </w:r>
    </w:p>
    <w:p>
      <w:r>
        <w:t>Run every month after financial close and immediately after a material financing, hiring, revenue, or cost change.</w:t>
      </w:r>
    </w:p>
    <w:p>
      <w:pPr>
        <w:pStyle w:val="Heading1"/>
      </w:pPr>
      <w:r>
        <w:t>Owner</w:t>
      </w:r>
    </w:p>
    <w:p>
      <w:r>
        <w:t>The finance owner prepares the review; a founder owns the resulting decisions.</w:t>
      </w:r>
    </w:p>
    <w:p>
      <w:pPr>
        <w:pStyle w:val="Heading1"/>
      </w:pPr>
      <w:r>
        <w:t>Required inputs</w:t>
      </w:r>
    </w:p>
    <w:p>
      <w:pPr>
        <w:pStyle w:val="ListBullet"/>
        <w:spacing w:after="80"/>
        <w:ind w:left="360" w:hanging="216"/>
      </w:pPr>
      <w:r>
        <w:rPr>
          <w:rFonts w:ascii="Arial" w:hAnsi="Arial"/>
          <w:color w:val="111111"/>
          <w:sz w:val="21"/>
        </w:rPr>
        <w:t>Reconciled cash balances</w:t>
      </w:r>
    </w:p>
    <w:p>
      <w:pPr>
        <w:pStyle w:val="ListBullet"/>
        <w:spacing w:after="80"/>
        <w:ind w:left="360" w:hanging="216"/>
      </w:pPr>
      <w:r>
        <w:rPr>
          <w:rFonts w:ascii="Arial" w:hAnsi="Arial"/>
          <w:color w:val="111111"/>
          <w:sz w:val="21"/>
        </w:rPr>
        <w:t>Actual monthly revenue and collections</w:t>
      </w:r>
    </w:p>
    <w:p>
      <w:pPr>
        <w:pStyle w:val="ListBullet"/>
        <w:spacing w:after="80"/>
        <w:ind w:left="360" w:hanging="216"/>
      </w:pPr>
      <w:r>
        <w:rPr>
          <w:rFonts w:ascii="Arial" w:hAnsi="Arial"/>
          <w:color w:val="111111"/>
          <w:sz w:val="21"/>
        </w:rPr>
        <w:t>Paid and committed expenses</w:t>
      </w:r>
    </w:p>
    <w:p>
      <w:pPr>
        <w:pStyle w:val="ListBullet"/>
        <w:spacing w:after="80"/>
        <w:ind w:left="360" w:hanging="216"/>
      </w:pPr>
      <w:r>
        <w:rPr>
          <w:rFonts w:ascii="Arial" w:hAnsi="Arial"/>
          <w:color w:val="111111"/>
          <w:sz w:val="21"/>
        </w:rPr>
        <w:t>Hiring and contractor plan</w:t>
      </w:r>
    </w:p>
    <w:p>
      <w:pPr>
        <w:pStyle w:val="ListBullet"/>
        <w:spacing w:after="80"/>
        <w:ind w:left="360" w:hanging="216"/>
      </w:pPr>
      <w:r>
        <w:rPr>
          <w:rFonts w:ascii="Arial" w:hAnsi="Arial"/>
          <w:color w:val="111111"/>
          <w:sz w:val="21"/>
        </w:rPr>
        <w:t>Updated revenue forecast</w:t>
      </w:r>
    </w:p>
    <w:p>
      <w:pPr>
        <w:pStyle w:val="ListBullet"/>
        <w:spacing w:after="80"/>
        <w:ind w:left="360" w:hanging="216"/>
      </w:pPr>
      <w:r>
        <w:rPr>
          <w:rFonts w:ascii="Arial" w:hAnsi="Arial"/>
          <w:color w:val="111111"/>
          <w:sz w:val="21"/>
        </w:rPr>
        <w:t>Fundraising status and financing obligations</w:t>
      </w:r>
    </w:p>
    <w:p>
      <w:pPr>
        <w:pStyle w:val="Heading1"/>
      </w:pPr>
      <w:r>
        <w:t>Expected response time</w:t>
      </w:r>
    </w:p>
    <w:p>
      <w:r>
        <w:t>Complete within five working days of month end. Escalate immediately if runway falls below the company's threshold or a material cash discrepancy appears.</w:t>
      </w:r>
    </w:p>
    <w:p>
      <w:pPr>
        <w:pStyle w:val="Heading1"/>
      </w:pPr>
      <w:r>
        <w:t>Success metric</w:t>
      </w:r>
    </w:p>
    <w:p>
      <w:r>
        <w:t>Forecast cash balance remains within 10 percent of actual cash over the next three months, with actions completed by their deadlines.</w:t>
      </w:r>
    </w:p>
    <w:p>
      <w:r>
        <w:br w:type="page"/>
      </w:r>
    </w:p>
    <w:p>
      <w:pPr>
        <w:pStyle w:val="Title"/>
      </w:pPr>
      <w:r>
        <w:t>Exact steps</w:t>
      </w:r>
    </w:p>
    <w:p>
      <w:pPr>
        <w:spacing w:after="280"/>
      </w:pPr>
      <w:r>
        <w:t>Execute these steps in order. Record material exceptions instead of silently inventing a second process.</w:t>
      </w:r>
    </w:p>
    <w:p>
      <w:pPr>
        <w:spacing w:after="160"/>
        <w:ind w:left="619" w:hanging="619"/>
      </w:pPr>
      <w:r>
        <w:rPr>
          <w:rFonts w:ascii="Arial" w:hAnsi="Arial"/>
          <w:b/>
          <w:color w:val="7C3AED"/>
          <w:sz w:val="20"/>
        </w:rPr>
        <w:t xml:space="preserve">01  </w:t>
      </w:r>
      <w:r>
        <w:rPr>
          <w:rFonts w:ascii="Arial" w:hAnsi="Arial"/>
          <w:color w:val="111111"/>
          <w:sz w:val="21"/>
        </w:rPr>
        <w:t>Reconcile every bank, payment, debt, and investment account to the review date.</w:t>
      </w:r>
    </w:p>
    <w:p>
      <w:pPr>
        <w:spacing w:after="160"/>
        <w:ind w:left="619" w:hanging="619"/>
      </w:pPr>
      <w:r>
        <w:rPr>
          <w:rFonts w:ascii="Arial" w:hAnsi="Arial"/>
          <w:b/>
          <w:color w:val="7C3AED"/>
          <w:sz w:val="20"/>
        </w:rPr>
        <w:t xml:space="preserve">02  </w:t>
      </w:r>
      <w:r>
        <w:rPr>
          <w:rFonts w:ascii="Arial" w:hAnsi="Arial"/>
          <w:color w:val="111111"/>
          <w:sz w:val="21"/>
        </w:rPr>
        <w:t>Calculate actual revenue, cash collections, gross burn, net burn, and closing cash for the month.</w:t>
      </w:r>
    </w:p>
    <w:p>
      <w:pPr>
        <w:spacing w:after="160"/>
        <w:ind w:left="619" w:hanging="619"/>
      </w:pPr>
      <w:r>
        <w:rPr>
          <w:rFonts w:ascii="Arial" w:hAnsi="Arial"/>
          <w:b/>
          <w:color w:val="7C3AED"/>
          <w:sz w:val="20"/>
        </w:rPr>
        <w:t xml:space="preserve">03  </w:t>
      </w:r>
      <w:r>
        <w:rPr>
          <w:rFonts w:ascii="Arial" w:hAnsi="Arial"/>
          <w:color w:val="111111"/>
          <w:sz w:val="21"/>
        </w:rPr>
        <w:t>Update committed costs, hiring dates, annual payments, debt, taxes, and known one-time expenses.</w:t>
      </w:r>
    </w:p>
    <w:p>
      <w:pPr>
        <w:spacing w:after="160"/>
        <w:ind w:left="619" w:hanging="619"/>
      </w:pPr>
      <w:r>
        <w:rPr>
          <w:rFonts w:ascii="Arial" w:hAnsi="Arial"/>
          <w:b/>
          <w:color w:val="7C3AED"/>
          <w:sz w:val="20"/>
        </w:rPr>
        <w:t xml:space="preserve">04  </w:t>
      </w:r>
      <w:r>
        <w:rPr>
          <w:rFonts w:ascii="Arial" w:hAnsi="Arial"/>
          <w:color w:val="111111"/>
          <w:sz w:val="21"/>
        </w:rPr>
        <w:t>Refresh the base, downside, and upside cash forecast using explicit assumptions.</w:t>
      </w:r>
    </w:p>
    <w:p>
      <w:pPr>
        <w:spacing w:after="160"/>
        <w:ind w:left="619" w:hanging="619"/>
      </w:pPr>
      <w:r>
        <w:rPr>
          <w:rFonts w:ascii="Arial" w:hAnsi="Arial"/>
          <w:b/>
          <w:color w:val="7C3AED"/>
          <w:sz w:val="20"/>
        </w:rPr>
        <w:t xml:space="preserve">05  </w:t>
      </w:r>
      <w:r>
        <w:rPr>
          <w:rFonts w:ascii="Arial" w:hAnsi="Arial"/>
          <w:color w:val="111111"/>
          <w:sz w:val="21"/>
        </w:rPr>
        <w:t>Calculate runway and the date each action threshold will be crossed.</w:t>
      </w:r>
    </w:p>
    <w:p>
      <w:pPr>
        <w:spacing w:after="160"/>
        <w:ind w:left="619" w:hanging="619"/>
      </w:pPr>
      <w:r>
        <w:rPr>
          <w:rFonts w:ascii="Arial" w:hAnsi="Arial"/>
          <w:b/>
          <w:color w:val="7C3AED"/>
          <w:sz w:val="20"/>
        </w:rPr>
        <w:t xml:space="preserve">06  </w:t>
      </w:r>
      <w:r>
        <w:rPr>
          <w:rFonts w:ascii="Arial" w:hAnsi="Arial"/>
          <w:color w:val="111111"/>
          <w:sz w:val="21"/>
        </w:rPr>
        <w:t>Explain material variance from the prior forecast and assign corrective actions.</w:t>
      </w:r>
    </w:p>
    <w:p>
      <w:pPr>
        <w:spacing w:after="160"/>
        <w:ind w:left="619" w:hanging="619"/>
      </w:pPr>
      <w:r>
        <w:rPr>
          <w:rFonts w:ascii="Arial" w:hAnsi="Arial"/>
          <w:b/>
          <w:color w:val="7C3AED"/>
          <w:sz w:val="20"/>
        </w:rPr>
        <w:t xml:space="preserve">07  </w:t>
      </w:r>
      <w:r>
        <w:rPr>
          <w:rFonts w:ascii="Arial" w:hAnsi="Arial"/>
          <w:color w:val="111111"/>
          <w:sz w:val="21"/>
        </w:rPr>
        <w:t>Decide hiring, spending, collection, revenue, and fundraising changes with owners and deadlines.</w:t>
      </w:r>
    </w:p>
    <w:p>
      <w:pPr>
        <w:spacing w:after="160"/>
        <w:ind w:left="619" w:hanging="619"/>
      </w:pPr>
      <w:r>
        <w:rPr>
          <w:rFonts w:ascii="Arial" w:hAnsi="Arial"/>
          <w:b/>
          <w:color w:val="7C3AED"/>
          <w:sz w:val="20"/>
        </w:rPr>
        <w:t xml:space="preserve">08  </w:t>
      </w:r>
      <w:r>
        <w:rPr>
          <w:rFonts w:ascii="Arial" w:hAnsi="Arial"/>
          <w:color w:val="111111"/>
          <w:sz w:val="21"/>
        </w:rPr>
        <w:t>Store the approved review and update the investor report and board materials where required.</w:t>
      </w:r>
    </w:p>
    <w:p>
      <w:pPr>
        <w:pStyle w:val="Heading1"/>
      </w:pPr>
      <w:r>
        <w:t>Decision and approval points</w:t>
      </w:r>
    </w:p>
    <w:p>
      <w:pPr>
        <w:pStyle w:val="ListBullet"/>
        <w:spacing w:after="80"/>
        <w:ind w:left="360" w:hanging="216"/>
      </w:pPr>
      <w:r>
        <w:rPr>
          <w:rFonts w:ascii="Arial" w:hAnsi="Arial"/>
          <w:color w:val="111111"/>
          <w:sz w:val="21"/>
        </w:rPr>
        <w:t>The finance owner signs off reconciliation and calculations.</w:t>
      </w:r>
    </w:p>
    <w:p>
      <w:pPr>
        <w:pStyle w:val="ListBullet"/>
        <w:spacing w:after="80"/>
        <w:ind w:left="360" w:hanging="216"/>
      </w:pPr>
      <w:r>
        <w:rPr>
          <w:rFonts w:ascii="Arial" w:hAnsi="Arial"/>
          <w:color w:val="111111"/>
          <w:sz w:val="21"/>
        </w:rPr>
        <w:t>A founder approves forecast assumptions and operating actions.</w:t>
      </w:r>
    </w:p>
    <w:p>
      <w:pPr>
        <w:pStyle w:val="ListBullet"/>
        <w:spacing w:after="80"/>
        <w:ind w:left="360" w:hanging="216"/>
      </w:pPr>
      <w:r>
        <w:rPr>
          <w:rFonts w:ascii="Arial" w:hAnsi="Arial"/>
          <w:color w:val="111111"/>
          <w:sz w:val="21"/>
        </w:rPr>
        <w:t>Board or investor approval is obtained where financing documents or governance require it.</w:t>
      </w:r>
    </w:p>
    <w:p>
      <w:pPr>
        <w:pStyle w:val="Heading1"/>
      </w:pPr>
      <w:r>
        <w:t>Escalation path</w:t>
      </w:r>
    </w:p>
    <w:p>
      <w:r>
        <w:t>Notify all founders when runway crosses the warning threshold, collections materially slip, cash cannot be reconciled, or obligations may not be met. Seek qualified finance, tax, or legal support where needed.</w:t>
      </w:r>
    </w:p>
    <w:p>
      <w:r>
        <w:br w:type="page"/>
      </w:r>
    </w:p>
    <w:p>
      <w:pPr>
        <w:pStyle w:val="Title"/>
      </w:pPr>
      <w:r>
        <w:t>Controls and customization</w:t>
      </w:r>
    </w:p>
    <w:p>
      <w:pPr>
        <w:pStyle w:val="Heading1"/>
      </w:pPr>
      <w:r>
        <w:t>Records that must be kept</w:t>
      </w:r>
    </w:p>
    <w:p>
      <w:pPr>
        <w:pStyle w:val="ListBullet"/>
        <w:spacing w:after="80"/>
        <w:ind w:left="360" w:hanging="216"/>
      </w:pPr>
      <w:r>
        <w:rPr>
          <w:rFonts w:ascii="Arial" w:hAnsi="Arial"/>
          <w:color w:val="111111"/>
          <w:sz w:val="21"/>
        </w:rPr>
        <w:t>Bank and account reconciliation</w:t>
      </w:r>
    </w:p>
    <w:p>
      <w:pPr>
        <w:pStyle w:val="ListBullet"/>
        <w:spacing w:after="80"/>
        <w:ind w:left="360" w:hanging="216"/>
      </w:pPr>
      <w:r>
        <w:rPr>
          <w:rFonts w:ascii="Arial" w:hAnsi="Arial"/>
          <w:color w:val="111111"/>
          <w:sz w:val="21"/>
        </w:rPr>
        <w:t>Monthly runway model</w:t>
      </w:r>
    </w:p>
    <w:p>
      <w:pPr>
        <w:pStyle w:val="ListBullet"/>
        <w:spacing w:after="80"/>
        <w:ind w:left="360" w:hanging="216"/>
      </w:pPr>
      <w:r>
        <w:rPr>
          <w:rFonts w:ascii="Arial" w:hAnsi="Arial"/>
          <w:color w:val="111111"/>
          <w:sz w:val="21"/>
        </w:rPr>
        <w:t>Assumptions and scenarios</w:t>
      </w:r>
    </w:p>
    <w:p>
      <w:pPr>
        <w:pStyle w:val="ListBullet"/>
        <w:spacing w:after="80"/>
        <w:ind w:left="360" w:hanging="216"/>
      </w:pPr>
      <w:r>
        <w:rPr>
          <w:rFonts w:ascii="Arial" w:hAnsi="Arial"/>
          <w:color w:val="111111"/>
          <w:sz w:val="21"/>
        </w:rPr>
        <w:t>Variance explanation</w:t>
      </w:r>
    </w:p>
    <w:p>
      <w:pPr>
        <w:pStyle w:val="ListBullet"/>
        <w:spacing w:after="80"/>
        <w:ind w:left="360" w:hanging="216"/>
      </w:pPr>
      <w:r>
        <w:rPr>
          <w:rFonts w:ascii="Arial" w:hAnsi="Arial"/>
          <w:color w:val="111111"/>
          <w:sz w:val="21"/>
        </w:rPr>
        <w:t>Approved decisions and owners</w:t>
      </w:r>
    </w:p>
    <w:p>
      <w:pPr>
        <w:pStyle w:val="ListBullet"/>
        <w:spacing w:after="80"/>
        <w:ind w:left="360" w:hanging="216"/>
      </w:pPr>
      <w:r>
        <w:rPr>
          <w:rFonts w:ascii="Arial" w:hAnsi="Arial"/>
          <w:color w:val="111111"/>
          <w:sz w:val="21"/>
        </w:rPr>
        <w:t>Investor or board reporting updates</w:t>
      </w:r>
    </w:p>
    <w:p>
      <w:pPr>
        <w:pStyle w:val="Heading1"/>
      </w:pPr>
      <w:r>
        <w:t>Customization checklist</w:t>
      </w:r>
    </w:p>
    <w:p>
      <w:pPr>
        <w:spacing w:after="100"/>
        <w:ind w:left="403" w:hanging="403"/>
      </w:pPr>
      <w:r>
        <w:rPr>
          <w:rFonts w:ascii="Arial" w:hAnsi="Arial"/>
          <w:b/>
          <w:color w:val="7C3AED"/>
          <w:sz w:val="21"/>
        </w:rPr>
        <w:t xml:space="preserve">[ ] </w:t>
      </w:r>
      <w:r>
        <w:rPr>
          <w:rFonts w:ascii="Arial" w:hAnsi="Arial"/>
          <w:color w:val="111111"/>
          <w:sz w:val="21"/>
        </w:rPr>
        <w:t>Define warning and critical runway thresholds.</w:t>
      </w:r>
    </w:p>
    <w:p>
      <w:pPr>
        <w:spacing w:after="100"/>
        <w:ind w:left="403" w:hanging="403"/>
      </w:pPr>
      <w:r>
        <w:rPr>
          <w:rFonts w:ascii="Arial" w:hAnsi="Arial"/>
          <w:b/>
          <w:color w:val="7C3AED"/>
          <w:sz w:val="21"/>
        </w:rPr>
        <w:t xml:space="preserve">[ ] </w:t>
      </w:r>
      <w:r>
        <w:rPr>
          <w:rFonts w:ascii="Arial" w:hAnsi="Arial"/>
          <w:color w:val="111111"/>
          <w:sz w:val="21"/>
        </w:rPr>
        <w:t>List all cash accounts and committed costs.</w:t>
      </w:r>
    </w:p>
    <w:p>
      <w:pPr>
        <w:spacing w:after="100"/>
        <w:ind w:left="403" w:hanging="403"/>
      </w:pPr>
      <w:r>
        <w:rPr>
          <w:rFonts w:ascii="Arial" w:hAnsi="Arial"/>
          <w:b/>
          <w:color w:val="7C3AED"/>
          <w:sz w:val="21"/>
        </w:rPr>
        <w:t xml:space="preserve">[ ] </w:t>
      </w:r>
      <w:r>
        <w:rPr>
          <w:rFonts w:ascii="Arial" w:hAnsi="Arial"/>
          <w:color w:val="111111"/>
          <w:sz w:val="21"/>
        </w:rPr>
        <w:t>Set material variance levels.</w:t>
      </w:r>
    </w:p>
    <w:p>
      <w:pPr>
        <w:spacing w:after="100"/>
        <w:ind w:left="403" w:hanging="403"/>
      </w:pPr>
      <w:r>
        <w:rPr>
          <w:rFonts w:ascii="Arial" w:hAnsi="Arial"/>
          <w:b/>
          <w:color w:val="7C3AED"/>
          <w:sz w:val="21"/>
        </w:rPr>
        <w:t xml:space="preserve">[ ] </w:t>
      </w:r>
      <w:r>
        <w:rPr>
          <w:rFonts w:ascii="Arial" w:hAnsi="Arial"/>
          <w:color w:val="111111"/>
          <w:sz w:val="21"/>
        </w:rPr>
        <w:t>Name who can freeze hiring or spending.</w:t>
      </w:r>
    </w:p>
    <w:p>
      <w:pPr>
        <w:spacing w:after="100"/>
        <w:ind w:left="403" w:hanging="403"/>
      </w:pPr>
      <w:r>
        <w:rPr>
          <w:rFonts w:ascii="Arial" w:hAnsi="Arial"/>
          <w:b/>
          <w:color w:val="7C3AED"/>
          <w:sz w:val="21"/>
        </w:rPr>
        <w:t xml:space="preserve">[ ] </w:t>
      </w:r>
      <w:r>
        <w:rPr>
          <w:rFonts w:ascii="Arial" w:hAnsi="Arial"/>
          <w:color w:val="111111"/>
          <w:sz w:val="21"/>
        </w:rPr>
        <w:t>Align the review with investor and board reporting.</w:t>
      </w:r>
    </w:p>
    <w:p>
      <w:pPr>
        <w:pStyle w:val="Heading1"/>
      </w:pPr>
      <w:r>
        <w:t>Common startup mistakes</w:t>
      </w:r>
    </w:p>
    <w:p>
      <w:pPr>
        <w:spacing w:after="100"/>
        <w:ind w:left="360" w:hanging="216"/>
      </w:pPr>
      <w:r>
        <w:rPr>
          <w:rFonts w:ascii="Arial" w:hAnsi="Arial"/>
          <w:b/>
          <w:color w:val="7C3AED"/>
          <w:sz w:val="22"/>
        </w:rPr>
        <w:t xml:space="preserve">×  </w:t>
      </w:r>
      <w:r>
        <w:rPr>
          <w:rFonts w:ascii="Arial" w:hAnsi="Arial"/>
          <w:color w:val="111111"/>
          <w:sz w:val="21"/>
        </w:rPr>
        <w:t>Calculating runway from an average that ignores future hiring</w:t>
      </w:r>
    </w:p>
    <w:p>
      <w:pPr>
        <w:spacing w:after="100"/>
        <w:ind w:left="360" w:hanging="216"/>
      </w:pPr>
      <w:r>
        <w:rPr>
          <w:rFonts w:ascii="Arial" w:hAnsi="Arial"/>
          <w:b/>
          <w:color w:val="7C3AED"/>
          <w:sz w:val="22"/>
        </w:rPr>
        <w:t xml:space="preserve">×  </w:t>
      </w:r>
      <w:r>
        <w:rPr>
          <w:rFonts w:ascii="Arial" w:hAnsi="Arial"/>
          <w:color w:val="111111"/>
          <w:sz w:val="21"/>
        </w:rPr>
        <w:t>Treating booked revenue as collected cash</w:t>
      </w:r>
    </w:p>
    <w:p>
      <w:pPr>
        <w:spacing w:after="100"/>
        <w:ind w:left="360" w:hanging="216"/>
      </w:pPr>
      <w:r>
        <w:rPr>
          <w:rFonts w:ascii="Arial" w:hAnsi="Arial"/>
          <w:b/>
          <w:color w:val="7C3AED"/>
          <w:sz w:val="22"/>
        </w:rPr>
        <w:t xml:space="preserve">×  </w:t>
      </w:r>
      <w:r>
        <w:rPr>
          <w:rFonts w:ascii="Arial" w:hAnsi="Arial"/>
          <w:color w:val="111111"/>
          <w:sz w:val="21"/>
        </w:rPr>
        <w:t>Waiting until runway is short before changing the fundraising plan</w:t>
      </w:r>
    </w:p>
    <w:p>
      <w:pPr>
        <w:pStyle w:val="Heading1"/>
      </w:pPr>
      <w:r>
        <w:t>Document control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939"/>
        <w:gridCol w:w="4939"/>
      </w:tblGrid>
      <w:tr>
        <w:tc>
          <w:tcPr>
            <w:tcW w:type="dxa" w:w="2088"/>
            <w:shd w:fill="F5F0FF"/>
            <w:tcMar>
              <w:top w:w="150" w:type="dxa"/>
              <w:start w:w="150" w:type="dxa"/>
              <w:bottom w:w="150" w:type="dxa"/>
              <w:end w:w="150" w:type="dxa"/>
            </w:tcMar>
            <w:vAlign w:val="center"/>
          </w:tcPr>
          <w:p>
            <w:pPr>
              <w:spacing w:after="0" w:line="259" w:lineRule="auto"/>
            </w:pPr>
            <w:r>
              <w:rPr>
                <w:rFonts w:ascii="Arial" w:hAnsi="Arial"/>
                <w:b/>
                <w:color w:val="111111"/>
                <w:sz w:val="19"/>
              </w:rPr>
              <w:t>SOP owner</w:t>
            </w:r>
          </w:p>
        </w:tc>
        <w:tc>
          <w:tcPr>
            <w:tcW w:type="dxa" w:w="7200"/>
            <w:tcMar>
              <w:top w:w="150" w:type="dxa"/>
              <w:start w:w="150" w:type="dxa"/>
              <w:bottom w:w="150" w:type="dxa"/>
              <w:end w:w="150" w:type="dxa"/>
            </w:tcMar>
            <w:vAlign w:val="center"/>
          </w:tcPr>
          <w:p>
            <w:pPr>
              <w:spacing w:after="0" w:line="259" w:lineRule="auto"/>
            </w:pPr>
            <w:r>
              <w:rPr>
                <w:rFonts w:ascii="Arial" w:hAnsi="Arial"/>
                <w:color w:val="111111"/>
                <w:sz w:val="19"/>
              </w:rPr>
              <w:t>The finance owner prepares the review; a founder owns the resulting decisions.</w:t>
            </w:r>
          </w:p>
        </w:tc>
      </w:tr>
      <w:tr>
        <w:tc>
          <w:tcPr>
            <w:tcW w:type="dxa" w:w="2088"/>
            <w:shd w:fill="F5F5F6"/>
            <w:tcMar>
              <w:top w:w="150" w:type="dxa"/>
              <w:start w:w="150" w:type="dxa"/>
              <w:bottom w:w="150" w:type="dxa"/>
              <w:end w:w="150" w:type="dxa"/>
            </w:tcMar>
            <w:vAlign w:val="center"/>
          </w:tcPr>
          <w:p>
            <w:pPr>
              <w:spacing w:after="0" w:line="259" w:lineRule="auto"/>
            </w:pPr>
            <w:r>
              <w:rPr>
                <w:rFonts w:ascii="Arial" w:hAnsi="Arial"/>
                <w:b/>
                <w:color w:val="111111"/>
                <w:sz w:val="19"/>
              </w:rPr>
              <w:t>Effective date</w:t>
            </w:r>
          </w:p>
        </w:tc>
        <w:tc>
          <w:tcPr>
            <w:tcW w:type="dxa" w:w="7200"/>
            <w:tcMar>
              <w:top w:w="150" w:type="dxa"/>
              <w:start w:w="150" w:type="dxa"/>
              <w:bottom w:w="150" w:type="dxa"/>
              <w:end w:w="150" w:type="dxa"/>
            </w:tcMar>
            <w:vAlign w:val="center"/>
            <w:shd w:fill="F5F5F6"/>
          </w:tcPr>
          <w:p>
            <w:pPr>
              <w:spacing w:after="0" w:line="259" w:lineRule="auto"/>
            </w:pPr>
            <w:r>
              <w:rPr>
                <w:rFonts w:ascii="Arial" w:hAnsi="Arial"/>
                <w:color w:val="111111"/>
                <w:sz w:val="19"/>
              </w:rPr>
              <w:t>[Enter date]</w:t>
            </w:r>
          </w:p>
        </w:tc>
      </w:tr>
      <w:tr>
        <w:tc>
          <w:tcPr>
            <w:tcW w:type="dxa" w:w="2088"/>
            <w:shd w:fill="F5F0FF"/>
            <w:tcMar>
              <w:top w:w="150" w:type="dxa"/>
              <w:start w:w="150" w:type="dxa"/>
              <w:bottom w:w="150" w:type="dxa"/>
              <w:end w:w="150" w:type="dxa"/>
            </w:tcMar>
            <w:vAlign w:val="center"/>
          </w:tcPr>
          <w:p>
            <w:pPr>
              <w:spacing w:after="0" w:line="259" w:lineRule="auto"/>
            </w:pPr>
            <w:r>
              <w:rPr>
                <w:rFonts w:ascii="Arial" w:hAnsi="Arial"/>
                <w:b/>
                <w:color w:val="111111"/>
                <w:sz w:val="19"/>
              </w:rPr>
              <w:t>Version</w:t>
            </w:r>
          </w:p>
        </w:tc>
        <w:tc>
          <w:tcPr>
            <w:tcW w:type="dxa" w:w="7200"/>
            <w:tcMar>
              <w:top w:w="150" w:type="dxa"/>
              <w:start w:w="150" w:type="dxa"/>
              <w:bottom w:w="150" w:type="dxa"/>
              <w:end w:w="150" w:type="dxa"/>
            </w:tcMar>
            <w:vAlign w:val="center"/>
          </w:tcPr>
          <w:p>
            <w:pPr>
              <w:spacing w:after="0" w:line="259" w:lineRule="auto"/>
            </w:pPr>
            <w:r>
              <w:rPr>
                <w:rFonts w:ascii="Arial" w:hAnsi="Arial"/>
                <w:color w:val="111111"/>
                <w:sz w:val="19"/>
              </w:rPr>
              <w:t>1.0</w:t>
            </w:r>
          </w:p>
        </w:tc>
      </w:tr>
      <w:tr>
        <w:tc>
          <w:tcPr>
            <w:tcW w:type="dxa" w:w="2088"/>
            <w:shd w:fill="F5F5F6"/>
            <w:tcMar>
              <w:top w:w="150" w:type="dxa"/>
              <w:start w:w="150" w:type="dxa"/>
              <w:bottom w:w="150" w:type="dxa"/>
              <w:end w:w="150" w:type="dxa"/>
            </w:tcMar>
            <w:vAlign w:val="center"/>
          </w:tcPr>
          <w:p>
            <w:pPr>
              <w:spacing w:after="0" w:line="259" w:lineRule="auto"/>
            </w:pPr>
            <w:r>
              <w:rPr>
                <w:rFonts w:ascii="Arial" w:hAnsi="Arial"/>
                <w:b/>
                <w:color w:val="111111"/>
                <w:sz w:val="19"/>
              </w:rPr>
              <w:t>Last reviewed</w:t>
            </w:r>
          </w:p>
        </w:tc>
        <w:tc>
          <w:tcPr>
            <w:tcW w:type="dxa" w:w="7200"/>
            <w:tcMar>
              <w:top w:w="150" w:type="dxa"/>
              <w:start w:w="150" w:type="dxa"/>
              <w:bottom w:w="150" w:type="dxa"/>
              <w:end w:w="150" w:type="dxa"/>
            </w:tcMar>
            <w:vAlign w:val="center"/>
            <w:shd w:fill="F5F5F6"/>
          </w:tcPr>
          <w:p>
            <w:pPr>
              <w:spacing w:after="0" w:line="259" w:lineRule="auto"/>
            </w:pPr>
            <w:r>
              <w:rPr>
                <w:rFonts w:ascii="Arial" w:hAnsi="Arial"/>
                <w:color w:val="111111"/>
                <w:sz w:val="19"/>
              </w:rPr>
              <w:t>2026-10-04</w:t>
            </w:r>
          </w:p>
        </w:tc>
      </w:tr>
      <w:tr>
        <w:tc>
          <w:tcPr>
            <w:tcW w:type="dxa" w:w="2088"/>
            <w:shd w:fill="F5F0FF"/>
            <w:tcMar>
              <w:top w:w="150" w:type="dxa"/>
              <w:start w:w="150" w:type="dxa"/>
              <w:bottom w:w="150" w:type="dxa"/>
              <w:end w:w="150" w:type="dxa"/>
            </w:tcMar>
            <w:vAlign w:val="center"/>
          </w:tcPr>
          <w:p>
            <w:pPr>
              <w:spacing w:after="0" w:line="259" w:lineRule="auto"/>
            </w:pPr>
            <w:r>
              <w:rPr>
                <w:rFonts w:ascii="Arial" w:hAnsi="Arial"/>
                <w:b/>
                <w:color w:val="111111"/>
                <w:sz w:val="19"/>
              </w:rPr>
              <w:t>Next review</w:t>
            </w:r>
          </w:p>
        </w:tc>
        <w:tc>
          <w:tcPr>
            <w:tcW w:type="dxa" w:w="7200"/>
            <w:tcMar>
              <w:top w:w="150" w:type="dxa"/>
              <w:start w:w="150" w:type="dxa"/>
              <w:bottom w:w="150" w:type="dxa"/>
              <w:end w:w="150" w:type="dxa"/>
            </w:tcMar>
            <w:vAlign w:val="center"/>
          </w:tcPr>
          <w:p>
            <w:pPr>
              <w:spacing w:after="0" w:line="259" w:lineRule="auto"/>
            </w:pPr>
            <w:r>
              <w:rPr>
                <w:rFonts w:ascii="Arial" w:hAnsi="Arial"/>
                <w:color w:val="111111"/>
                <w:sz w:val="19"/>
              </w:rPr>
              <w:t>[Enter date or review trigger]</w:t>
            </w:r>
          </w:p>
        </w:tc>
      </w:tr>
    </w:tbl>
    <w:p>
      <w:pPr>
        <w:spacing w:before="280"/>
      </w:pPr>
      <w:r>
        <w:rPr>
          <w:b/>
        </w:rPr>
        <w:t xml:space="preserve">Review rule: </w:t>
      </w:r>
      <w:r>
        <w:t>Review after a material failure, role change, system change, or at least every six months.</w:t>
      </w:r>
    </w:p>
    <w:sectPr w:rsidR="00FC693F" w:rsidRPr="0006063C" w:rsidSect="00034616">
      <w:footerReference w:type="default" r:id="rId9"/>
      <w:pgSz w:w="12240" w:h="15840"/>
      <w:pgMar w:top="1008" w:right="1181" w:bottom="936"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color w:val="66666F"/>
        <w:sz w:val="16"/>
      </w:rPr>
      <w:t xml:space="preserve">Eonlint Startup Operations Library   ·   </w:t>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111111"/>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rial" w:hAnsi="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www.eonlint.com/cont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