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325880" cy="1325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r>
        <w:rPr>
          <w:rFonts w:ascii="Arial" w:hAnsi="Arial"/>
          <w:b/>
          <w:color w:val="7C3AED"/>
          <w:sz w:val="17"/>
        </w:rPr>
        <w:t>EONLINT STARTUP OPERATIONS LIBRARY</w:t>
      </w:r>
    </w:p>
    <w:p>
      <w:pPr>
        <w:pStyle w:val="Title"/>
        <w:spacing w:before="120" w:after="280"/>
      </w:pPr>
      <w:r>
        <w:t>Employee Onboarding SOP</w:t>
      </w:r>
    </w:p>
    <w:p>
      <w:pPr>
        <w:spacing w:after="440"/>
      </w:pPr>
      <w:r>
        <w:rPr>
          <w:rFonts w:ascii="Arial" w:hAnsi="Arial"/>
          <w:color w:val="66666F"/>
          <w:sz w:val="26"/>
        </w:rPr>
        <w:t>A role-first onboarding process that gives a new employee or contractor context, access, expectations, and a useful first deliverable.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Collection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People and hiring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Document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hiring manager, with operations owning records and the system owners granting access.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</w:tbl>
    <w:p/>
    <w:p>
      <w:pPr>
        <w:pStyle w:val="Heading2"/>
        <w:keepNext/>
      </w:pPr>
      <w:r>
        <w:t>Why Eonlint publishes these SOPs</w:t>
      </w:r>
    </w:p>
    <w:p>
      <w:pPr>
        <w:spacing w:after="280"/>
      </w:pPr>
      <w:r>
        <w:t>Startups need control without becoming corporate. This document is designed to be edited, assigned, and used in real work. It is the shortest reliable path from trigger to outcome, not a policy manual nobody reads.</w:t>
      </w:r>
    </w:p>
    <w:p>
      <w:r>
        <w:t xml:space="preserve">Need the product and operating system built together? </w:t>
      </w:r>
      <w:hyperlink r:id="rId11">
        <w:r>
          <w:rPr>
            <w:color w:val="7C3AED"/>
            <w:b/>
          </w:rPr>
          <w:t>Build with Eonlint</w:t>
        </w:r>
      </w:hyperlink>
    </w:p>
    <w:p>
      <w:pPr>
        <w:spacing w:before="480"/>
      </w:pPr>
      <w:r>
        <w:rPr>
          <w:rFonts w:ascii="Arial" w:hAnsi="Arial"/>
          <w:color w:val="66666F"/>
          <w:sz w:val="17"/>
        </w:rPr>
        <w:t>Planning template only. Adapt it to your company, contracts, risk, and jurisdiction. Obtain qualified legal, tax, security, employment, or accounting advice where required.</w:t>
      </w:r>
    </w:p>
    <w:p>
      <w:r>
        <w:br w:type="page"/>
      </w:r>
    </w:p>
    <w:p>
      <w:pPr>
        <w:pStyle w:val="Title"/>
      </w:pPr>
      <w:r>
        <w:t>Employee Onboarding SOP</w:t>
      </w:r>
    </w:p>
    <w:p>
      <w:pPr>
        <w:pStyle w:val="Heading1"/>
      </w:pPr>
      <w:r>
        <w:t>Purpose</w:t>
      </w:r>
    </w:p>
    <w:p>
      <w:r>
        <w:t>Make a new team member productive and secure without depending on the founder to remember every setup task.</w:t>
      </w:r>
    </w:p>
    <w:p>
      <w:pPr>
        <w:pStyle w:val="Heading1"/>
      </w:pPr>
      <w:r>
        <w:t>When this SOP applies</w:t>
      </w:r>
    </w:p>
    <w:p>
      <w:r>
        <w:t>Use from signed offer or contractor agreement through the end of the person's first 30 days.</w:t>
      </w:r>
    </w:p>
    <w:p>
      <w:pPr>
        <w:pStyle w:val="Heading1"/>
      </w:pPr>
      <w:r>
        <w:t>Owner</w:t>
      </w:r>
    </w:p>
    <w:p>
      <w:r>
        <w:t>The hiring manager, with operations owning records and the system owners granting access.</w:t>
      </w:r>
    </w:p>
    <w:p>
      <w:pPr>
        <w:pStyle w:val="Heading1"/>
      </w:pPr>
      <w:r>
        <w:t>Required inputs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Signed agreement and verified start date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Role scorecard and manager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Equipment and access requirements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30-day outcomes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Assigned onboarding buddy</w:t>
      </w:r>
    </w:p>
    <w:p>
      <w:pPr>
        <w:pStyle w:val="Heading1"/>
      </w:pPr>
      <w:r>
        <w:t>Expected response time</w:t>
      </w:r>
    </w:p>
    <w:p>
      <w:r>
        <w:t>Plan ready three working days before start. Core access available by the start of day one. Blocking issues resolved within four business hours.</w:t>
      </w:r>
    </w:p>
    <w:p>
      <w:pPr>
        <w:pStyle w:val="Heading1"/>
      </w:pPr>
      <w:r>
        <w:t>Success metric</w:t>
      </w:r>
    </w:p>
    <w:p>
      <w:r>
        <w:t>At least 90 percent of new starters complete core setup on day one and deliver the agreed first-week outcome.</w:t>
      </w:r>
    </w:p>
    <w:p>
      <w:r>
        <w:br w:type="page"/>
      </w:r>
    </w:p>
    <w:p>
      <w:pPr>
        <w:pStyle w:val="Title"/>
      </w:pPr>
      <w:r>
        <w:t>Exact steps</w:t>
      </w:r>
    </w:p>
    <w:p>
      <w:pPr>
        <w:spacing w:after="280"/>
      </w:pPr>
      <w:r>
        <w:t>Execute these steps in order. Record material exceptions instead of silently inventing a second process.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01  </w:t>
      </w:r>
      <w:r>
        <w:rPr>
          <w:rFonts w:ascii="Arial" w:hAnsi="Arial"/>
          <w:color w:val="111111"/>
          <w:sz w:val="21"/>
        </w:rPr>
        <w:t>Confirm the signed agreement, start date, role, manager, and worker classification.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02  </w:t>
      </w:r>
      <w:r>
        <w:rPr>
          <w:rFonts w:ascii="Arial" w:hAnsi="Arial"/>
          <w:color w:val="111111"/>
          <w:sz w:val="21"/>
        </w:rPr>
        <w:t>Create the onboarding plan and first-week calendar at least three working days before start.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03  </w:t>
      </w:r>
      <w:r>
        <w:rPr>
          <w:rFonts w:ascii="Arial" w:hAnsi="Arial"/>
          <w:color w:val="111111"/>
          <w:sz w:val="21"/>
        </w:rPr>
        <w:t>Prepare equipment and request least-privilege access through the access-management SOP.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04  </w:t>
      </w:r>
      <w:r>
        <w:rPr>
          <w:rFonts w:ascii="Arial" w:hAnsi="Arial"/>
          <w:color w:val="111111"/>
          <w:sz w:val="21"/>
        </w:rPr>
        <w:t>Send the welcome note, company context, operating norms, and required reading.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05  </w:t>
      </w:r>
      <w:r>
        <w:rPr>
          <w:rFonts w:ascii="Arial" w:hAnsi="Arial"/>
          <w:color w:val="111111"/>
          <w:sz w:val="21"/>
        </w:rPr>
        <w:t>Complete identity, payroll or invoice, confidentiality, security, and policy steps on day one.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06  </w:t>
      </w:r>
      <w:r>
        <w:rPr>
          <w:rFonts w:ascii="Arial" w:hAnsi="Arial"/>
          <w:color w:val="111111"/>
          <w:sz w:val="21"/>
        </w:rPr>
        <w:t>Explain the role scorecard, decision rights, communication expectations, and 30-day outcomes.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07  </w:t>
      </w:r>
      <w:r>
        <w:rPr>
          <w:rFonts w:ascii="Arial" w:hAnsi="Arial"/>
          <w:color w:val="111111"/>
          <w:sz w:val="21"/>
        </w:rPr>
        <w:t>Assign a small real deliverable that can be completed during the first week.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08  </w:t>
      </w:r>
      <w:r>
        <w:rPr>
          <w:rFonts w:ascii="Arial" w:hAnsi="Arial"/>
          <w:color w:val="111111"/>
          <w:sz w:val="21"/>
        </w:rPr>
        <w:t>Hold check-ins at the end of week one and days 14 and 30; close gaps and record completion.</w:t>
      </w:r>
    </w:p>
    <w:p>
      <w:pPr>
        <w:pStyle w:val="Heading1"/>
      </w:pPr>
      <w:r>
        <w:t>Decision and approval points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The hiring manager approves the onboarding plan and role outcomes.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Operations confirms required documents.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System owners approve access under the access-management SOP.</w:t>
      </w:r>
    </w:p>
    <w:p>
      <w:pPr>
        <w:pStyle w:val="Heading1"/>
      </w:pPr>
      <w:r>
        <w:t>Escalation path</w:t>
      </w:r>
    </w:p>
    <w:p>
      <w:r>
        <w:t>Escalate missing contracts, identity checks, payroll details, equipment, or critical access to operations and the hiring manager. Do not permit work without the required agreement and security controls.</w:t>
      </w:r>
    </w:p>
    <w:p>
      <w:r>
        <w:br w:type="page"/>
      </w:r>
    </w:p>
    <w:p>
      <w:pPr>
        <w:pStyle w:val="Title"/>
      </w:pPr>
      <w:r>
        <w:t>Controls and customization</w:t>
      </w:r>
    </w:p>
    <w:p>
      <w:pPr>
        <w:pStyle w:val="Heading1"/>
      </w:pPr>
      <w:r>
        <w:t>Records that must be kept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Signed agreement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Role scorecard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Onboarding checklist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Access approvals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Training acknowledgements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30-day review notes</w:t>
      </w:r>
    </w:p>
    <w:p>
      <w:pPr>
        <w:pStyle w:val="Heading1"/>
      </w:pPr>
      <w:r>
        <w:t>Customization checklist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Separate employee and contractor requirements by jurisdiction.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Define role-specific access bundles.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Write the first-week deliverable for each role.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Link required policies and product context.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Assign the manager and buddy before the start date.</w:t>
      </w:r>
    </w:p>
    <w:p>
      <w:pPr>
        <w:pStyle w:val="Heading1"/>
      </w:pPr>
      <w:r>
        <w:t>Common startup mistakes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Making onboarding a tour of random documents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Granting every tool before defining the role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Waiting weeks before assigning meaningful work</w:t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SOP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hiring manager, with operations owning records and the system owners granting access.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Effective date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date]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Version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1.0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Next review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 or review trigger]</w:t>
            </w:r>
          </w:p>
        </w:tc>
      </w:tr>
    </w:tbl>
    <w:p>
      <w:pPr>
        <w:spacing w:before="280"/>
      </w:pPr>
      <w:r>
        <w:rPr>
          <w:b/>
        </w:rPr>
        <w:t xml:space="preserve">Review rule: </w:t>
      </w:r>
      <w:r>
        <w:t>Review after a material failure, role change, system change, or at least every six months.</w:t>
      </w:r>
    </w:p>
    <w:sectPr w:rsidR="00FC693F" w:rsidRPr="0006063C" w:rsidSect="00034616">
      <w:footerReference w:type="default" r:id="rId9"/>
      <w:pgSz w:w="12240" w:h="15840"/>
      <w:pgMar w:top="1008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666F"/>
        <w:sz w:val="16"/>
      </w:rPr>
      <w:t xml:space="preserve">Eonlint Startup Operations Library   ·  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eonlint.com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