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r>
        <w:rPr>
          <w:rFonts w:ascii="Arial" w:hAnsi="Arial"/>
          <w:b/>
          <w:color w:val="7C3AED"/>
          <w:sz w:val="17"/>
        </w:rPr>
        <w:t>EONLINT STARTUP OPERATIONS LIBRARY</w:t>
      </w:r>
    </w:p>
    <w:p>
      <w:pPr>
        <w:pStyle w:val="Title"/>
        <w:spacing w:before="120" w:after="280"/>
      </w:pPr>
      <w:r>
        <w:t>Access Management SOP</w:t>
      </w:r>
    </w:p>
    <w:p>
      <w:pPr>
        <w:spacing w:after="440"/>
      </w:pPr>
      <w:r>
        <w:rPr>
          <w:rFonts w:ascii="Arial" w:hAnsi="Arial"/>
          <w:color w:val="66666F"/>
          <w:sz w:val="26"/>
        </w:rPr>
        <w:t>A lean access-control process for granting, reviewing, changing, and removing access before shared passwords become a company incident.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Collection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Founder operations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Document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security or operations owner; until assigned, the technical founder.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</w:tbl>
    <w:p/>
    <w:p>
      <w:pPr>
        <w:pStyle w:val="Heading2"/>
        <w:keepNext/>
      </w:pPr>
      <w:r>
        <w:t>Why Eonlint publishes these SOPs</w:t>
      </w:r>
    </w:p>
    <w:p>
      <w:pPr>
        <w:spacing w:after="280"/>
      </w:pPr>
      <w:r>
        <w:t>Startups need control without becoming corporate. This document is designed to be edited, assigned, and used in real work. It is the shortest reliable path from trigger to outcome, not a policy manual nobody reads.</w:t>
      </w:r>
    </w:p>
    <w:p>
      <w:r>
        <w:t xml:space="preserve">Need the product and operating system built together? </w:t>
      </w:r>
      <w:hyperlink r:id="rId11">
        <w:r>
          <w:rPr>
            <w:color w:val="7C3AED"/>
            <w:b/>
          </w:rPr>
          <w:t>Build with Eonlint</w:t>
        </w:r>
      </w:hyperlink>
    </w:p>
    <w:p>
      <w:pPr>
        <w:spacing w:before="480"/>
      </w:pPr>
      <w:r>
        <w:rPr>
          <w:rFonts w:ascii="Arial" w:hAnsi="Arial"/>
          <w:color w:val="66666F"/>
          <w:sz w:val="17"/>
        </w:rPr>
        <w:t>Planning template only. Adapt it to your company, contracts, risk, and jurisdiction. Obtain qualified legal, tax, security, employment, or accounting advice where required.</w:t>
      </w:r>
    </w:p>
    <w:p>
      <w:r>
        <w:br w:type="page"/>
      </w:r>
    </w:p>
    <w:p>
      <w:pPr>
        <w:pStyle w:val="Title"/>
      </w:pPr>
      <w:r>
        <w:t>Access Management SOP</w:t>
      </w:r>
    </w:p>
    <w:p>
      <w:pPr>
        <w:pStyle w:val="Heading1"/>
      </w:pPr>
      <w:r>
        <w:t>Purpose</w:t>
      </w:r>
    </w:p>
    <w:p>
      <w:r>
        <w:t>Give each person the minimum access needed, maintain accountability, and remove access promptly when roles change or people leave.</w:t>
      </w:r>
    </w:p>
    <w:p>
      <w:pPr>
        <w:pStyle w:val="Heading1"/>
      </w:pPr>
      <w:r>
        <w:t>When this SOP applies</w:t>
      </w:r>
    </w:p>
    <w:p>
      <w:r>
        <w:t>Use for every employee, contractor, founder, vendor, service account, and production system from the moment access is requested until it is revoked.</w:t>
      </w:r>
    </w:p>
    <w:p>
      <w:pPr>
        <w:pStyle w:val="Heading1"/>
      </w:pPr>
      <w:r>
        <w:t>Owner</w:t>
      </w:r>
    </w:p>
    <w:p>
      <w:r>
        <w:t>The security or operations owner; until assigned, the technical founder.</w:t>
      </w:r>
    </w:p>
    <w:p>
      <w:pPr>
        <w:pStyle w:val="Heading1"/>
      </w:pPr>
      <w:r>
        <w:t>Required inputs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Approved user identity and role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Systems and permission level requested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Business justification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Manager and system-owner approval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Start and expected end dates</w:t>
      </w:r>
    </w:p>
    <w:p>
      <w:pPr>
        <w:pStyle w:val="Heading1"/>
      </w:pPr>
      <w:r>
        <w:t>Expected response time</w:t>
      </w:r>
    </w:p>
    <w:p>
      <w:r>
        <w:t>Standard requests within one working day. Critical revocation immediately. Privileged changes within four business hours.</w:t>
      </w:r>
    </w:p>
    <w:p>
      <w:pPr>
        <w:pStyle w:val="Heading1"/>
      </w:pPr>
      <w:r>
        <w:t>Success metric</w:t>
      </w:r>
    </w:p>
    <w:p>
      <w:r>
        <w:t>100 percent of departures revoked on time and zero shared administrator credentials.</w:t>
      </w:r>
    </w:p>
    <w:p>
      <w:r>
        <w:br w:type="page"/>
      </w:r>
    </w:p>
    <w:p>
      <w:pPr>
        <w:pStyle w:val="Title"/>
      </w:pPr>
      <w:r>
        <w:t>Exact steps</w:t>
      </w:r>
    </w:p>
    <w:p>
      <w:pPr>
        <w:spacing w:after="280"/>
      </w:pPr>
      <w:r>
        <w:t>Execute these steps in order. Record material exceptions instead of silently inventing a second process.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01  </w:t>
      </w:r>
      <w:r>
        <w:rPr>
          <w:rFonts w:ascii="Arial" w:hAnsi="Arial"/>
          <w:color w:val="111111"/>
          <w:sz w:val="21"/>
        </w:rPr>
        <w:t>Submit an access request naming the user, system, role, justification, and duration.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02  </w:t>
      </w:r>
      <w:r>
        <w:rPr>
          <w:rFonts w:ascii="Arial" w:hAnsi="Arial"/>
          <w:color w:val="111111"/>
          <w:sz w:val="21"/>
        </w:rPr>
        <w:t>Confirm the manager and system owner approve the minimum permission level.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03  </w:t>
      </w:r>
      <w:r>
        <w:rPr>
          <w:rFonts w:ascii="Arial" w:hAnsi="Arial"/>
          <w:color w:val="111111"/>
          <w:sz w:val="21"/>
        </w:rPr>
        <w:t>Create an individual account; never reuse another person's credentials.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04  </w:t>
      </w:r>
      <w:r>
        <w:rPr>
          <w:rFonts w:ascii="Arial" w:hAnsi="Arial"/>
          <w:color w:val="111111"/>
          <w:sz w:val="21"/>
        </w:rPr>
        <w:t>Require multi-factor authentication and store recovery methods securely.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05  </w:t>
      </w:r>
      <w:r>
        <w:rPr>
          <w:rFonts w:ascii="Arial" w:hAnsi="Arial"/>
          <w:color w:val="111111"/>
          <w:sz w:val="21"/>
        </w:rPr>
        <w:t>Record the grant in the access register and notify the user of acceptable use.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06  </w:t>
      </w:r>
      <w:r>
        <w:rPr>
          <w:rFonts w:ascii="Arial" w:hAnsi="Arial"/>
          <w:color w:val="111111"/>
          <w:sz w:val="21"/>
        </w:rPr>
        <w:t>Review privileged access monthly and all other access quarterly.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07  </w:t>
      </w:r>
      <w:r>
        <w:rPr>
          <w:rFonts w:ascii="Arial" w:hAnsi="Arial"/>
          <w:color w:val="111111"/>
          <w:sz w:val="21"/>
        </w:rPr>
        <w:t>Change access within one working day when responsibilities change.</w:t>
      </w:r>
    </w:p>
    <w:p>
      <w:pPr>
        <w:spacing w:after="160"/>
        <w:ind w:left="619" w:hanging="619"/>
      </w:pPr>
      <w:r>
        <w:rPr>
          <w:rFonts w:ascii="Arial" w:hAnsi="Arial"/>
          <w:b/>
          <w:color w:val="7C3AED"/>
          <w:sz w:val="20"/>
        </w:rPr>
        <w:t xml:space="preserve">08  </w:t>
      </w:r>
      <w:r>
        <w:rPr>
          <w:rFonts w:ascii="Arial" w:hAnsi="Arial"/>
          <w:color w:val="111111"/>
          <w:sz w:val="21"/>
        </w:rPr>
        <w:t>Disable access immediately for involuntary departures and by end of the final day for planned departures.</w:t>
      </w:r>
    </w:p>
    <w:p>
      <w:pPr>
        <w:pStyle w:val="Heading1"/>
      </w:pPr>
      <w:r>
        <w:t>Decision and approval points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person's manager confirms business need.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The system owner approves permission level.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Production, billing, payroll, banking, and administrator access requires a founder or security owner.</w:t>
      </w:r>
    </w:p>
    <w:p>
      <w:pPr>
        <w:pStyle w:val="Heading1"/>
      </w:pPr>
      <w:r>
        <w:t>Escalation path</w:t>
      </w:r>
    </w:p>
    <w:p>
      <w:r>
        <w:t>Report suspected credential compromise immediately to the security owner. Disable the affected account first when delay increases risk, then investigate and document.</w:t>
      </w:r>
    </w:p>
    <w:p>
      <w:r>
        <w:br w:type="page"/>
      </w:r>
    </w:p>
    <w:p>
      <w:pPr>
        <w:pStyle w:val="Title"/>
      </w:pPr>
      <w:r>
        <w:t>Controls and customization</w:t>
      </w:r>
    </w:p>
    <w:p>
      <w:pPr>
        <w:pStyle w:val="Heading1"/>
      </w:pPr>
      <w:r>
        <w:t>Records that must be kept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Access request and approvals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Access register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Privileged access review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Revocation confirmation</w:t>
      </w:r>
    </w:p>
    <w:p>
      <w:pPr>
        <w:pStyle w:val="ListBullet"/>
        <w:spacing w:after="80"/>
        <w:ind w:left="360" w:hanging="216"/>
      </w:pPr>
      <w:r>
        <w:rPr>
          <w:rFonts w:ascii="Arial" w:hAnsi="Arial"/>
          <w:color w:val="111111"/>
          <w:sz w:val="21"/>
        </w:rPr>
        <w:t>Security exceptions and expiry dates</w:t>
      </w:r>
    </w:p>
    <w:p>
      <w:pPr>
        <w:pStyle w:val="Heading1"/>
      </w:pPr>
      <w:r>
        <w:t>Customization checklist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List every critical system and its owner.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Define privileged roles and approval thresholds.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Choose the request and access-register location.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Set review frequency based on risk.</w:t>
      </w:r>
    </w:p>
    <w:p>
      <w:pPr>
        <w:spacing w:after="100"/>
        <w:ind w:left="403" w:hanging="403"/>
      </w:pPr>
      <w:r>
        <w:rPr>
          <w:rFonts w:ascii="Arial" w:hAnsi="Arial"/>
          <w:b/>
          <w:color w:val="7C3AED"/>
          <w:sz w:val="21"/>
        </w:rPr>
        <w:t xml:space="preserve">[ ] </w:t>
      </w:r>
      <w:r>
        <w:rPr>
          <w:rFonts w:ascii="Arial" w:hAnsi="Arial"/>
          <w:color w:val="111111"/>
          <w:sz w:val="21"/>
        </w:rPr>
        <w:t>Link this SOP to onboarding and offboarding.</w:t>
      </w:r>
    </w:p>
    <w:p>
      <w:pPr>
        <w:pStyle w:val="Heading1"/>
      </w:pPr>
      <w:r>
        <w:t>Common startup mistakes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Sharing one administrator login across the team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Granting broad access because it is faster</w:t>
      </w:r>
    </w:p>
    <w:p>
      <w:pPr>
        <w:spacing w:after="100"/>
        <w:ind w:left="360" w:hanging="216"/>
      </w:pPr>
      <w:r>
        <w:rPr>
          <w:rFonts w:ascii="Arial" w:hAnsi="Arial"/>
          <w:b/>
          <w:color w:val="7C3AED"/>
          <w:sz w:val="22"/>
        </w:rPr>
        <w:t xml:space="preserve">×  </w:t>
      </w:r>
      <w:r>
        <w:rPr>
          <w:rFonts w:ascii="Arial" w:hAnsi="Arial"/>
          <w:color w:val="111111"/>
          <w:sz w:val="21"/>
        </w:rPr>
        <w:t>Removing email but forgetting cloud, code, billing, and vendor accounts</w:t>
      </w:r>
    </w:p>
    <w:p>
      <w:pPr>
        <w:pStyle w:val="Heading1"/>
      </w:pPr>
      <w:r>
        <w:t>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39"/>
        <w:gridCol w:w="4939"/>
      </w:tblGrid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SOP owner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The security or operations owner; until assigned, the technical founder.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Effective date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date]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Version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1.0</w:t>
            </w:r>
          </w:p>
        </w:tc>
      </w:tr>
      <w:tr>
        <w:tc>
          <w:tcPr>
            <w:tcW w:type="dxa" w:w="2088"/>
            <w:shd w:fill="F5F5F6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Last reviewed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  <w:shd w:fill="F5F5F6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2026-10-04</w:t>
            </w:r>
          </w:p>
        </w:tc>
      </w:tr>
      <w:tr>
        <w:tc>
          <w:tcPr>
            <w:tcW w:type="dxa" w:w="2088"/>
            <w:shd w:fill="F5F0FF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Next review</w:t>
            </w:r>
          </w:p>
        </w:tc>
        <w:tc>
          <w:tcPr>
            <w:tcW w:type="dxa" w:w="7200"/>
            <w:tcMar>
              <w:top w:w="150" w:type="dxa"/>
              <w:start w:w="150" w:type="dxa"/>
              <w:bottom w:w="150" w:type="dxa"/>
              <w:end w:w="15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111111"/>
                <w:sz w:val="19"/>
              </w:rPr>
              <w:t>[Enter date or review trigger]</w:t>
            </w:r>
          </w:p>
        </w:tc>
      </w:tr>
    </w:tbl>
    <w:p>
      <w:pPr>
        <w:spacing w:before="280"/>
      </w:pPr>
      <w:r>
        <w:rPr>
          <w:b/>
        </w:rPr>
        <w:t xml:space="preserve">Review rule: </w:t>
      </w:r>
      <w:r>
        <w:t>Review after a material failure, role change, system change, or at least every six months.</w:t>
      </w:r>
    </w:p>
    <w:sectPr w:rsidR="00FC693F" w:rsidRPr="0006063C" w:rsidSect="00034616">
      <w:footerReference w:type="default" r:id="rId9"/>
      <w:pgSz w:w="12240" w:h="15840"/>
      <w:pgMar w:top="1008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6666F"/>
        <w:sz w:val="16"/>
      </w:rPr>
      <w:t xml:space="preserve">Eonlint Startup Operations Library   ·  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www.eonlint.com/cont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